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75" w:rsidRPr="00386C75" w:rsidRDefault="00386C75" w:rsidP="00386C75">
      <w:pPr>
        <w:shd w:val="clear" w:color="auto" w:fill="FFFFFF"/>
        <w:spacing w:after="0" w:line="264" w:lineRule="atLeast"/>
        <w:rPr>
          <w:rFonts w:ascii="alice" w:eastAsia="Times New Roman" w:hAnsi="alice" w:cs="Helvetica"/>
          <w:color w:val="000000"/>
          <w:sz w:val="48"/>
          <w:szCs w:val="48"/>
        </w:rPr>
      </w:pPr>
      <w:r w:rsidRPr="00386C75">
        <w:rPr>
          <w:rFonts w:ascii="alice" w:eastAsia="Times New Roman" w:hAnsi="alice" w:cs="Helvetica"/>
          <w:color w:val="000000"/>
          <w:sz w:val="48"/>
          <w:szCs w:val="48"/>
        </w:rPr>
        <w:t>Dipendenti Pubblici: licenziamento per abuso dei permessi Legge 104</w:t>
      </w:r>
    </w:p>
    <w:p w:rsidR="00386C75" w:rsidRPr="00386C75" w:rsidRDefault="00386C75" w:rsidP="00386C75">
      <w:pPr>
        <w:shd w:val="clear" w:color="auto" w:fill="FFFFFF"/>
        <w:spacing w:after="0" w:line="240" w:lineRule="auto"/>
        <w:rPr>
          <w:rFonts w:ascii="Helvetica" w:eastAsia="Times New Roman" w:hAnsi="Helvetica" w:cs="Helvetica"/>
          <w:color w:val="000000"/>
          <w:sz w:val="24"/>
          <w:szCs w:val="24"/>
        </w:rPr>
      </w:pPr>
      <w:r>
        <w:rPr>
          <w:rFonts w:ascii="Helvetica" w:eastAsia="Times New Roman" w:hAnsi="Helvetica" w:cs="Helvetica"/>
          <w:noProof/>
          <w:color w:val="0000FF"/>
          <w:sz w:val="24"/>
          <w:szCs w:val="24"/>
          <w:bdr w:val="none" w:sz="0" w:space="0" w:color="auto" w:frame="1"/>
        </w:rPr>
        <w:drawing>
          <wp:inline distT="0" distB="0" distL="0" distR="0">
            <wp:extent cx="2000250" cy="180975"/>
            <wp:effectExtent l="0" t="0" r="0" b="0"/>
            <wp:docPr id="1" name="Immagine 1" descr="Print Friendly, PDF &amp; Email">
              <a:hlinkClick xmlns:a="http://schemas.openxmlformats.org/drawingml/2006/main" r:id="rId5"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5" tooltip="&quot;Printer Friendly, PDF &amp; Email&quot;"/>
                    </pic:cNvPr>
                    <pic:cNvPicPr>
                      <a:picLocks noChangeAspect="1" noChangeArrowheads="1"/>
                    </pic:cNvPicPr>
                  </pic:nvPicPr>
                  <pic:blipFill>
                    <a:blip r:embed="rId6"/>
                    <a:srcRect/>
                    <a:stretch>
                      <a:fillRect/>
                    </a:stretch>
                  </pic:blipFill>
                  <pic:spPr bwMode="auto">
                    <a:xfrm>
                      <a:off x="0" y="0"/>
                      <a:ext cx="2000250" cy="180975"/>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4A0"/>
      </w:tblPr>
      <w:tblGrid>
        <w:gridCol w:w="1711"/>
        <w:gridCol w:w="3631"/>
      </w:tblGrid>
      <w:tr w:rsidR="00386C75" w:rsidRPr="00386C75" w:rsidTr="00386C75">
        <w:tc>
          <w:tcPr>
            <w:tcW w:w="0" w:type="auto"/>
            <w:tcBorders>
              <w:right w:val="single" w:sz="6" w:space="0" w:color="CCCCCC"/>
            </w:tcBorders>
            <w:tcMar>
              <w:top w:w="15" w:type="dxa"/>
              <w:left w:w="15" w:type="dxa"/>
              <w:bottom w:w="15" w:type="dxa"/>
              <w:right w:w="300" w:type="dxa"/>
            </w:tcMar>
            <w:vAlign w:val="center"/>
            <w:hideMark/>
          </w:tcPr>
          <w:p w:rsidR="00386C75" w:rsidRPr="00386C75" w:rsidRDefault="00386C75" w:rsidP="00386C75">
            <w:pPr>
              <w:spacing w:after="0" w:line="900" w:lineRule="atLeast"/>
              <w:jc w:val="center"/>
              <w:rPr>
                <w:rFonts w:ascii="Arial" w:eastAsia="Times New Roman" w:hAnsi="Arial" w:cs="Arial"/>
                <w:b/>
                <w:bCs/>
                <w:sz w:val="90"/>
                <w:szCs w:val="90"/>
              </w:rPr>
            </w:pPr>
            <w:r w:rsidRPr="00386C75">
              <w:rPr>
                <w:rFonts w:ascii="Arial" w:eastAsia="Times New Roman" w:hAnsi="Arial" w:cs="Arial"/>
                <w:b/>
                <w:bCs/>
                <w:sz w:val="90"/>
                <w:szCs w:val="90"/>
              </w:rPr>
              <w:t>14</w:t>
            </w:r>
          </w:p>
          <w:p w:rsidR="00386C75" w:rsidRPr="00386C75" w:rsidRDefault="00386C75" w:rsidP="00386C75">
            <w:pPr>
              <w:spacing w:after="0" w:line="270" w:lineRule="atLeast"/>
              <w:jc w:val="center"/>
              <w:rPr>
                <w:rFonts w:ascii="Times New Roman" w:eastAsia="Times New Roman" w:hAnsi="Times New Roman" w:cs="Times New Roman"/>
                <w:sz w:val="27"/>
                <w:szCs w:val="27"/>
              </w:rPr>
            </w:pPr>
            <w:r w:rsidRPr="00386C75">
              <w:rPr>
                <w:rFonts w:ascii="Times New Roman" w:eastAsia="Times New Roman" w:hAnsi="Times New Roman" w:cs="Times New Roman"/>
                <w:sz w:val="27"/>
                <w:szCs w:val="27"/>
              </w:rPr>
              <w:t>Condivisioni</w:t>
            </w:r>
          </w:p>
        </w:tc>
        <w:tc>
          <w:tcPr>
            <w:tcW w:w="0" w:type="auto"/>
            <w:tcMar>
              <w:top w:w="0" w:type="dxa"/>
              <w:left w:w="300" w:type="dxa"/>
              <w:bottom w:w="0" w:type="dxa"/>
              <w:right w:w="0" w:type="dxa"/>
            </w:tcMar>
            <w:vAlign w:val="center"/>
            <w:hideMark/>
          </w:tcPr>
          <w:p w:rsidR="00386C75" w:rsidRPr="00386C75" w:rsidRDefault="00386C75" w:rsidP="00386C75">
            <w:pPr>
              <w:spacing w:after="0" w:line="0" w:lineRule="auto"/>
              <w:rPr>
                <w:rFonts w:ascii="Times New Roman" w:eastAsia="Times New Roman" w:hAnsi="Times New Roman" w:cs="Times New Roman"/>
                <w:sz w:val="2"/>
                <w:szCs w:val="2"/>
              </w:rPr>
            </w:pPr>
            <w:proofErr w:type="spellStart"/>
            <w:r w:rsidRPr="00386C75">
              <w:rPr>
                <w:rFonts w:ascii="Helvetica" w:eastAsia="Times New Roman" w:hAnsi="Helvetica" w:cs="Helvetica"/>
                <w:sz w:val="17"/>
              </w:rPr>
              <w:t>FacebookTwitterGoogle+LinkedInWhatsApp</w:t>
            </w:r>
            <w:proofErr w:type="spellEnd"/>
          </w:p>
        </w:tc>
      </w:tr>
    </w:tbl>
    <w:p w:rsidR="00386C75" w:rsidRPr="00386C75" w:rsidRDefault="00386C75" w:rsidP="00386C75">
      <w:pPr>
        <w:shd w:val="clear" w:color="auto" w:fill="FFFFFF"/>
        <w:spacing w:after="0" w:line="240" w:lineRule="atLeast"/>
        <w:rPr>
          <w:rFonts w:ascii="gudea" w:eastAsia="Times New Roman" w:hAnsi="gudea" w:cs="Helvetica"/>
          <w:i/>
          <w:iCs/>
          <w:color w:val="9C9C9C"/>
          <w:sz w:val="19"/>
          <w:szCs w:val="19"/>
        </w:rPr>
      </w:pPr>
      <w:r w:rsidRPr="00386C75">
        <w:rPr>
          <w:rFonts w:ascii="gudea" w:eastAsia="Times New Roman" w:hAnsi="gudea" w:cs="Helvetica"/>
          <w:i/>
          <w:iCs/>
          <w:color w:val="9C9C9C"/>
          <w:sz w:val="19"/>
          <w:szCs w:val="19"/>
        </w:rPr>
        <w:t>Pubblicato da </w:t>
      </w:r>
      <w:proofErr w:type="spellStart"/>
      <w:r w:rsidRPr="00386C75">
        <w:rPr>
          <w:rFonts w:ascii="gudea" w:eastAsia="Times New Roman" w:hAnsi="gudea" w:cs="Helvetica"/>
          <w:color w:val="6E6E6E"/>
          <w:sz w:val="19"/>
          <w:szCs w:val="19"/>
        </w:rPr>
        <w:t>lentepubblica.it</w:t>
      </w:r>
      <w:proofErr w:type="spellEnd"/>
      <w:r w:rsidRPr="00386C75">
        <w:rPr>
          <w:rFonts w:ascii="gudea" w:eastAsia="Times New Roman" w:hAnsi="gudea" w:cs="Helvetica"/>
          <w:i/>
          <w:iCs/>
          <w:color w:val="9C9C9C"/>
          <w:sz w:val="19"/>
          <w:szCs w:val="19"/>
        </w:rPr>
        <w:t> il 5 aprile 2018</w:t>
      </w:r>
    </w:p>
    <w:p w:rsidR="00386C75" w:rsidRPr="00386C75" w:rsidRDefault="00386C75" w:rsidP="00386C75">
      <w:pPr>
        <w:shd w:val="clear" w:color="auto" w:fill="FFFFFF"/>
        <w:spacing w:after="0" w:line="240" w:lineRule="atLeast"/>
        <w:rPr>
          <w:rFonts w:ascii="gudea" w:eastAsia="Times New Roman" w:hAnsi="gudea" w:cs="Helvetica"/>
          <w:caps/>
          <w:color w:val="6E6E6E"/>
          <w:sz w:val="18"/>
          <w:szCs w:val="18"/>
        </w:rPr>
      </w:pPr>
      <w:hyperlink r:id="rId7" w:history="1">
        <w:r w:rsidRPr="00386C75">
          <w:rPr>
            <w:rFonts w:ascii="gudea" w:eastAsia="Times New Roman" w:hAnsi="gudea" w:cs="Helvetica"/>
            <w:caps/>
            <w:color w:val="0000FF"/>
            <w:sz w:val="18"/>
            <w:u w:val="single"/>
          </w:rPr>
          <w:t>PERSONALE E PREVIDENZA</w:t>
        </w:r>
      </w:hyperlink>
    </w:p>
    <w:p w:rsidR="00386C75" w:rsidRPr="00386C75" w:rsidRDefault="00386C75" w:rsidP="00386C75">
      <w:pPr>
        <w:shd w:val="clear" w:color="auto" w:fill="FFFFFF"/>
        <w:spacing w:before="100" w:beforeAutospacing="1" w:after="100" w:afterAutospacing="1" w:line="288" w:lineRule="atLeast"/>
        <w:outlineLvl w:val="3"/>
        <w:rPr>
          <w:rFonts w:ascii="gudea" w:eastAsia="Times New Roman" w:hAnsi="gudea" w:cs="Helvetica"/>
          <w:b/>
          <w:bCs/>
          <w:color w:val="222222"/>
          <w:sz w:val="24"/>
          <w:szCs w:val="24"/>
        </w:rPr>
      </w:pPr>
      <w:r>
        <w:rPr>
          <w:rFonts w:ascii="gudea" w:eastAsia="Times New Roman" w:hAnsi="gudea" w:cs="Helvetica"/>
          <w:b/>
          <w:bCs/>
          <w:noProof/>
          <w:color w:val="0000FF"/>
          <w:sz w:val="24"/>
          <w:szCs w:val="24"/>
        </w:rPr>
        <w:drawing>
          <wp:inline distT="0" distB="0" distL="0" distR="0">
            <wp:extent cx="2609850" cy="2857500"/>
            <wp:effectExtent l="19050" t="0" r="0" b="0"/>
            <wp:docPr id="2" name="Immagine 2" descr="abuso-dei-permessi-legge-1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so-dei-permessi-legge-104">
                      <a:hlinkClick r:id="rId8"/>
                    </pic:cNvPr>
                    <pic:cNvPicPr>
                      <a:picLocks noChangeAspect="1" noChangeArrowheads="1"/>
                    </pic:cNvPicPr>
                  </pic:nvPicPr>
                  <pic:blipFill>
                    <a:blip r:embed="rId9"/>
                    <a:srcRect/>
                    <a:stretch>
                      <a:fillRect/>
                    </a:stretch>
                  </pic:blipFill>
                  <pic:spPr bwMode="auto">
                    <a:xfrm>
                      <a:off x="0" y="0"/>
                      <a:ext cx="2609850" cy="2857500"/>
                    </a:xfrm>
                    <a:prstGeom prst="rect">
                      <a:avLst/>
                    </a:prstGeom>
                    <a:noFill/>
                    <a:ln w="9525">
                      <a:noFill/>
                      <a:miter lim="800000"/>
                      <a:headEnd/>
                      <a:tailEnd/>
                    </a:ln>
                  </pic:spPr>
                </pic:pic>
              </a:graphicData>
            </a:graphic>
          </wp:inline>
        </w:drawing>
      </w:r>
      <w:r w:rsidRPr="00386C75">
        <w:rPr>
          <w:rFonts w:ascii="gudea" w:eastAsia="Times New Roman" w:hAnsi="gudea" w:cs="Helvetica"/>
          <w:b/>
          <w:bCs/>
          <w:color w:val="222222"/>
          <w:sz w:val="24"/>
          <w:szCs w:val="24"/>
        </w:rPr>
        <w:t>La Cassazione emette il verdetto: sì al licenziamento disciplinare del dipendente pubblico che, illegittimamente usufruendo di assenze retribuite dal lavoro, commette un abuso dei permessi Legge 104.</w:t>
      </w:r>
    </w:p>
    <w:p w:rsidR="00386C75" w:rsidRPr="00386C75" w:rsidRDefault="00386C75" w:rsidP="00386C75">
      <w:pPr>
        <w:shd w:val="clear" w:color="auto" w:fill="FFFFFF"/>
        <w:spacing w:before="240" w:after="24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pict>
          <v:rect id="_x0000_i1025" style="width:0;height:.75pt" o:hralign="center" o:hrstd="t" o:hr="t" fillcolor="#a0a0a0" stroked="f"/>
        </w:pic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Impugnando il licenziamento disciplinare in Cassazione, dopo aver avuto torto per due gradi di giudizio di merito, la dipendente pubblica voleva far emergere l’illegittima applicazione della sanzione più grave (il licenziamento) a fronte della singolarità dell’episodio. La fattispecie è quella sopra citata dell’abuso dei </w:t>
      </w:r>
      <w:hyperlink r:id="rId10" w:history="1">
        <w:r w:rsidRPr="00386C75">
          <w:rPr>
            <w:rFonts w:ascii="gudea" w:eastAsia="Times New Roman" w:hAnsi="gudea" w:cs="Helvetica"/>
            <w:color w:val="0000FF"/>
            <w:sz w:val="24"/>
            <w:szCs w:val="24"/>
            <w:u w:val="single"/>
          </w:rPr>
          <w:t>permessi Legge 104</w:t>
        </w:r>
      </w:hyperlink>
      <w:r w:rsidRPr="00386C75">
        <w:rPr>
          <w:rFonts w:ascii="gudea" w:eastAsia="Times New Roman" w:hAnsi="gudea" w:cs="Helvetica"/>
          <w:color w:val="222222"/>
          <w:sz w:val="24"/>
          <w:szCs w:val="24"/>
        </w:rPr>
        <w:t>.</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Il principio espresso con le decisioni richiamate nella motivazione dell’impugnata sentenza ha portata generale e non presuppone la reiterazione della condotta integrante l’abuso del diritto, risultando,  pertanto, idoneo a sorreggere il percorso logico-valutativo intrapreso dalla Corte territoriale e condotto, secondo quanto emerge dalla motivazione espressa, tenendo ampiamente conto della documentazione, </w:t>
      </w:r>
      <w:r w:rsidRPr="00386C75">
        <w:rPr>
          <w:rFonts w:ascii="gudea" w:eastAsia="Times New Roman" w:hAnsi="gudea" w:cs="Helvetica"/>
          <w:b/>
          <w:bCs/>
          <w:color w:val="222222"/>
          <w:sz w:val="24"/>
          <w:szCs w:val="24"/>
        </w:rPr>
        <w:t>sancendone l’irrilevanza sotto il profilo della loro incidenza limitativa della gravità della condotta</w:t>
      </w:r>
      <w:r w:rsidRPr="00386C75">
        <w:rPr>
          <w:rFonts w:ascii="gudea" w:eastAsia="Times New Roman" w:hAnsi="gudea" w:cs="Helvetica"/>
          <w:color w:val="222222"/>
          <w:sz w:val="24"/>
          <w:szCs w:val="24"/>
        </w:rPr>
        <w:t>.</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Gravità che i giudici hanno fatto emergere in particolare dando prevalenza all’elemento soggettivo della condotta e non a quello quantitativo nel tempo. In effetti l’elemento soggettivo rilevante veniva individuato nella«perdurante ipotesi di dolo»</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lastRenderedPageBreak/>
        <w:t>La Corte di Cassazione così boccia i rilievi espressi col ricorso.</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Si ricorda, in conclusione, che per evitare l’abuso dei permessi Legge 104, il congedo che l’interessato richiede </w:t>
      </w:r>
      <w:r w:rsidRPr="00386C75">
        <w:rPr>
          <w:rFonts w:ascii="gudea" w:eastAsia="Times New Roman" w:hAnsi="gudea" w:cs="Helvetica"/>
          <w:color w:val="222222"/>
          <w:sz w:val="24"/>
          <w:szCs w:val="24"/>
          <w:u w:val="single"/>
        </w:rPr>
        <w:t>deve essere volto all’esclusivo supporto materiale e morale del soggetto disabile</w:t>
      </w:r>
      <w:r w:rsidRPr="00386C75">
        <w:rPr>
          <w:rFonts w:ascii="gudea" w:eastAsia="Times New Roman" w:hAnsi="gudea" w:cs="Helvetica"/>
          <w:color w:val="222222"/>
          <w:sz w:val="24"/>
          <w:szCs w:val="24"/>
        </w:rPr>
        <w:t>. Chiunque non utilizzi il permesso dal lavoro esclusivamente a favore dell’assistenza del disabile commette il reato di truffa, ed è la Corte di Cassazione ad affermarlo.</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Se il lavoratore non è il referente unico per assistere il familiare con disabilità grave, ma presta la sua assistenza solo per alcuni periodi o saltuariamente in sostituzione del referente, può usufruire di 1 giorno di permesso ogni 10 di assistenza continuativa.</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In allegato il testo completo della Sentenza.</w:t>
      </w:r>
    </w:p>
    <w:p w:rsidR="00386C75" w:rsidRPr="00386C75" w:rsidRDefault="00386C75" w:rsidP="00386C75">
      <w:pPr>
        <w:shd w:val="clear" w:color="auto" w:fill="FFFFFF"/>
        <w:spacing w:after="0" w:line="288" w:lineRule="atLeast"/>
        <w:rPr>
          <w:rFonts w:ascii="gudea" w:eastAsia="Times New Roman" w:hAnsi="gudea" w:cs="Helvetica"/>
          <w:color w:val="222222"/>
          <w:sz w:val="24"/>
          <w:szCs w:val="24"/>
        </w:rPr>
      </w:pPr>
      <w:r w:rsidRPr="00386C75">
        <w:rPr>
          <w:rFonts w:ascii="gudea" w:eastAsia="Times New Roman" w:hAnsi="gudea" w:cs="Helvetica"/>
          <w:color w:val="222222"/>
          <w:sz w:val="24"/>
          <w:szCs w:val="24"/>
        </w:rPr>
        <w:t> </w:t>
      </w:r>
    </w:p>
    <w:p w:rsidR="00386C75" w:rsidRPr="00386C75" w:rsidRDefault="00386C75" w:rsidP="00386C75">
      <w:pPr>
        <w:numPr>
          <w:ilvl w:val="0"/>
          <w:numId w:val="1"/>
        </w:numPr>
        <w:pBdr>
          <w:bottom w:val="dotted" w:sz="6" w:space="8" w:color="ECECEC"/>
        </w:pBdr>
        <w:shd w:val="clear" w:color="auto" w:fill="FFFFFF"/>
        <w:spacing w:after="100" w:afterAutospacing="1" w:line="240" w:lineRule="auto"/>
        <w:ind w:left="0"/>
        <w:rPr>
          <w:rFonts w:ascii="gudea" w:eastAsia="Times New Roman" w:hAnsi="gudea" w:cs="Helvetica"/>
          <w:color w:val="9C9C9C"/>
        </w:rPr>
      </w:pPr>
      <w:hyperlink r:id="rId11" w:tgtFrame="_self" w:history="1">
        <w:r w:rsidRPr="00386C75">
          <w:rPr>
            <w:rFonts w:ascii="gudea" w:eastAsia="Times New Roman" w:hAnsi="gudea" w:cs="Helvetica"/>
            <w:color w:val="0000FF"/>
            <w:u w:val="single"/>
          </w:rPr>
          <w:t>Ordinanza della Corte di cassazione n. 8209-2018</w:t>
        </w:r>
      </w:hyperlink>
    </w:p>
    <w:p w:rsidR="00386C75" w:rsidRPr="00386C75" w:rsidRDefault="00386C75" w:rsidP="00386C75">
      <w:pPr>
        <w:shd w:val="clear" w:color="auto" w:fill="FFFFFF"/>
        <w:spacing w:line="240" w:lineRule="atLeast"/>
        <w:jc w:val="right"/>
        <w:rPr>
          <w:rFonts w:ascii="gudea" w:eastAsia="Times New Roman" w:hAnsi="gudea" w:cs="Helvetica"/>
          <w:i/>
          <w:iCs/>
          <w:color w:val="9C9C9C"/>
          <w:sz w:val="24"/>
          <w:szCs w:val="24"/>
        </w:rPr>
      </w:pPr>
      <w:hyperlink r:id="rId12" w:history="1">
        <w:r w:rsidRPr="00386C75">
          <w:rPr>
            <w:rFonts w:ascii="gudea" w:eastAsia="Times New Roman" w:hAnsi="gudea" w:cs="Helvetica"/>
            <w:i/>
            <w:iCs/>
            <w:color w:val="0000FF"/>
            <w:sz w:val="24"/>
            <w:szCs w:val="24"/>
            <w:u w:val="single"/>
          </w:rPr>
          <w:t>Fonte: Corte di Cassazione</w:t>
        </w:r>
      </w:hyperlink>
    </w:p>
    <w:p w:rsidR="00386C75" w:rsidRPr="00386C75" w:rsidRDefault="00386C75" w:rsidP="00386C75">
      <w:pPr>
        <w:shd w:val="clear" w:color="auto" w:fill="FFFFFF"/>
        <w:spacing w:line="0" w:lineRule="auto"/>
        <w:rPr>
          <w:rFonts w:ascii="Helvetica" w:eastAsia="Times New Roman" w:hAnsi="Helvetica" w:cs="Helvetica"/>
          <w:color w:val="FFFFFF"/>
          <w:sz w:val="2"/>
          <w:szCs w:val="2"/>
        </w:rPr>
      </w:pPr>
      <w:r w:rsidRPr="00386C75">
        <w:rPr>
          <w:rFonts w:ascii="Helvetica" w:eastAsia="Times New Roman" w:hAnsi="Helvetica" w:cs="Helvetica"/>
          <w:b/>
          <w:bCs/>
          <w:caps/>
          <w:color w:val="32363B"/>
          <w:sz w:val="15"/>
        </w:rPr>
        <w:t>14</w:t>
      </w:r>
    </w:p>
    <w:sectPr w:rsidR="00386C75" w:rsidRPr="00386C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ice">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d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02093"/>
    <w:multiLevelType w:val="multilevel"/>
    <w:tmpl w:val="D8C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DD1914"/>
    <w:multiLevelType w:val="multilevel"/>
    <w:tmpl w:val="B57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86C75"/>
    <w:rsid w:val="00386C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86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link w:val="Titolo4Carattere"/>
    <w:uiPriority w:val="9"/>
    <w:qFormat/>
    <w:rsid w:val="00386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86C75"/>
    <w:rPr>
      <w:rFonts w:ascii="Times New Roman" w:eastAsia="Times New Roman" w:hAnsi="Times New Roman" w:cs="Times New Roman"/>
      <w:b/>
      <w:bCs/>
      <w:sz w:val="27"/>
      <w:szCs w:val="27"/>
    </w:rPr>
  </w:style>
  <w:style w:type="character" w:customStyle="1" w:styleId="Titolo4Carattere">
    <w:name w:val="Titolo 4 Carattere"/>
    <w:basedOn w:val="Carpredefinitoparagrafo"/>
    <w:link w:val="Titolo4"/>
    <w:uiPriority w:val="9"/>
    <w:rsid w:val="00386C75"/>
    <w:rPr>
      <w:rFonts w:ascii="Times New Roman" w:eastAsia="Times New Roman" w:hAnsi="Times New Roman" w:cs="Times New Roman"/>
      <w:b/>
      <w:bCs/>
      <w:sz w:val="24"/>
      <w:szCs w:val="24"/>
    </w:rPr>
  </w:style>
  <w:style w:type="character" w:styleId="Collegamentoipertestuale">
    <w:name w:val="Hyperlink"/>
    <w:basedOn w:val="Carpredefinitoparagrafo"/>
    <w:uiPriority w:val="99"/>
    <w:semiHidden/>
    <w:unhideWhenUsed/>
    <w:rsid w:val="00386C75"/>
    <w:rPr>
      <w:color w:val="0000FF"/>
      <w:u w:val="single"/>
    </w:rPr>
  </w:style>
  <w:style w:type="character" w:customStyle="1" w:styleId="at-label">
    <w:name w:val="at-label"/>
    <w:basedOn w:val="Carpredefinitoparagrafo"/>
    <w:rsid w:val="00386C75"/>
  </w:style>
  <w:style w:type="paragraph" w:styleId="NormaleWeb">
    <w:name w:val="Normal (Web)"/>
    <w:basedOn w:val="Normale"/>
    <w:uiPriority w:val="99"/>
    <w:semiHidden/>
    <w:unhideWhenUsed/>
    <w:rsid w:val="00386C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86C75"/>
    <w:rPr>
      <w:b/>
      <w:bCs/>
    </w:rPr>
  </w:style>
  <w:style w:type="character" w:customStyle="1" w:styleId="atflatcounter">
    <w:name w:val="at_flat_counter"/>
    <w:basedOn w:val="Carpredefinitoparagrafo"/>
    <w:rsid w:val="00386C75"/>
  </w:style>
  <w:style w:type="character" w:customStyle="1" w:styleId="poweredtext">
    <w:name w:val="powered_text"/>
    <w:basedOn w:val="Carpredefinitoparagrafo"/>
    <w:rsid w:val="00386C75"/>
  </w:style>
  <w:style w:type="paragraph" w:styleId="Testofumetto">
    <w:name w:val="Balloon Text"/>
    <w:basedOn w:val="Normale"/>
    <w:link w:val="TestofumettoCarattere"/>
    <w:uiPriority w:val="99"/>
    <w:semiHidden/>
    <w:unhideWhenUsed/>
    <w:rsid w:val="00386C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6C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823678">
      <w:bodyDiv w:val="1"/>
      <w:marLeft w:val="0"/>
      <w:marRight w:val="0"/>
      <w:marTop w:val="0"/>
      <w:marBottom w:val="0"/>
      <w:divBdr>
        <w:top w:val="none" w:sz="0" w:space="0" w:color="auto"/>
        <w:left w:val="none" w:sz="0" w:space="0" w:color="auto"/>
        <w:bottom w:val="none" w:sz="0" w:space="0" w:color="auto"/>
        <w:right w:val="none" w:sz="0" w:space="0" w:color="auto"/>
      </w:divBdr>
      <w:divsChild>
        <w:div w:id="10114187">
          <w:marLeft w:val="0"/>
          <w:marRight w:val="0"/>
          <w:marTop w:val="0"/>
          <w:marBottom w:val="0"/>
          <w:divBdr>
            <w:top w:val="none" w:sz="0" w:space="0" w:color="auto"/>
            <w:left w:val="none" w:sz="0" w:space="0" w:color="auto"/>
            <w:bottom w:val="none" w:sz="0" w:space="0" w:color="auto"/>
            <w:right w:val="none" w:sz="0" w:space="0" w:color="auto"/>
          </w:divBdr>
          <w:divsChild>
            <w:div w:id="1251503716">
              <w:marLeft w:val="0"/>
              <w:marRight w:val="0"/>
              <w:marTop w:val="300"/>
              <w:marBottom w:val="0"/>
              <w:divBdr>
                <w:top w:val="none" w:sz="0" w:space="0" w:color="auto"/>
                <w:left w:val="none" w:sz="0" w:space="0" w:color="auto"/>
                <w:bottom w:val="none" w:sz="0" w:space="0" w:color="auto"/>
                <w:right w:val="none" w:sz="0" w:space="0" w:color="auto"/>
              </w:divBdr>
            </w:div>
            <w:div w:id="1430665198">
              <w:marLeft w:val="0"/>
              <w:marRight w:val="0"/>
              <w:marTop w:val="150"/>
              <w:marBottom w:val="0"/>
              <w:divBdr>
                <w:top w:val="none" w:sz="0" w:space="0" w:color="auto"/>
                <w:left w:val="none" w:sz="0" w:space="0" w:color="auto"/>
                <w:bottom w:val="none" w:sz="0" w:space="0" w:color="auto"/>
                <w:right w:val="none" w:sz="0" w:space="0" w:color="auto"/>
              </w:divBdr>
              <w:divsChild>
                <w:div w:id="1587766121">
                  <w:marLeft w:val="0"/>
                  <w:marRight w:val="0"/>
                  <w:marTop w:val="0"/>
                  <w:marBottom w:val="0"/>
                  <w:divBdr>
                    <w:top w:val="none" w:sz="0" w:space="0" w:color="auto"/>
                    <w:left w:val="none" w:sz="0" w:space="0" w:color="auto"/>
                    <w:bottom w:val="none" w:sz="0" w:space="0" w:color="auto"/>
                    <w:right w:val="none" w:sz="0" w:space="0" w:color="auto"/>
                  </w:divBdr>
                  <w:divsChild>
                    <w:div w:id="395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767">
              <w:marLeft w:val="0"/>
              <w:marRight w:val="0"/>
              <w:marTop w:val="0"/>
              <w:marBottom w:val="300"/>
              <w:divBdr>
                <w:top w:val="none" w:sz="0" w:space="0" w:color="auto"/>
                <w:left w:val="none" w:sz="0" w:space="0" w:color="auto"/>
                <w:bottom w:val="none" w:sz="0" w:space="0" w:color="auto"/>
                <w:right w:val="none" w:sz="0" w:space="0" w:color="auto"/>
              </w:divBdr>
              <w:divsChild>
                <w:div w:id="1885485671">
                  <w:marLeft w:val="0"/>
                  <w:marRight w:val="0"/>
                  <w:marTop w:val="0"/>
                  <w:marBottom w:val="0"/>
                  <w:divBdr>
                    <w:top w:val="none" w:sz="0" w:space="0" w:color="auto"/>
                    <w:left w:val="none" w:sz="0" w:space="0" w:color="auto"/>
                    <w:bottom w:val="none" w:sz="0" w:space="0" w:color="auto"/>
                    <w:right w:val="none" w:sz="0" w:space="0" w:color="auto"/>
                  </w:divBdr>
                  <w:divsChild>
                    <w:div w:id="1426341185">
                      <w:marLeft w:val="0"/>
                      <w:marRight w:val="0"/>
                      <w:marTop w:val="0"/>
                      <w:marBottom w:val="0"/>
                      <w:divBdr>
                        <w:top w:val="none" w:sz="0" w:space="0" w:color="auto"/>
                        <w:left w:val="none" w:sz="0" w:space="0" w:color="auto"/>
                        <w:bottom w:val="none" w:sz="0" w:space="0" w:color="auto"/>
                        <w:right w:val="none" w:sz="0" w:space="0" w:color="auto"/>
                      </w:divBdr>
                      <w:divsChild>
                        <w:div w:id="1072699432">
                          <w:marLeft w:val="0"/>
                          <w:marRight w:val="0"/>
                          <w:marTop w:val="0"/>
                          <w:marBottom w:val="0"/>
                          <w:divBdr>
                            <w:top w:val="none" w:sz="0" w:space="0" w:color="auto"/>
                            <w:left w:val="none" w:sz="0" w:space="0" w:color="auto"/>
                            <w:bottom w:val="none" w:sz="0" w:space="0" w:color="auto"/>
                            <w:right w:val="none" w:sz="0" w:space="0" w:color="auto"/>
                          </w:divBdr>
                          <w:divsChild>
                            <w:div w:id="1355643951">
                              <w:marLeft w:val="0"/>
                              <w:marRight w:val="0"/>
                              <w:marTop w:val="0"/>
                              <w:marBottom w:val="0"/>
                              <w:divBdr>
                                <w:top w:val="none" w:sz="0" w:space="0" w:color="auto"/>
                                <w:left w:val="none" w:sz="0" w:space="0" w:color="auto"/>
                                <w:bottom w:val="none" w:sz="0" w:space="0" w:color="auto"/>
                                <w:right w:val="none" w:sz="0" w:space="0" w:color="auto"/>
                              </w:divBdr>
                            </w:div>
                            <w:div w:id="8267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328">
              <w:marLeft w:val="0"/>
              <w:marRight w:val="0"/>
              <w:marTop w:val="0"/>
              <w:marBottom w:val="0"/>
              <w:divBdr>
                <w:top w:val="dotted" w:sz="6" w:space="8" w:color="E3E3E3"/>
                <w:left w:val="none" w:sz="0" w:space="0" w:color="auto"/>
                <w:bottom w:val="dotted" w:sz="6" w:space="8" w:color="E3E3E3"/>
                <w:right w:val="none" w:sz="0" w:space="0" w:color="auto"/>
              </w:divBdr>
            </w:div>
            <w:div w:id="792017926">
              <w:marLeft w:val="0"/>
              <w:marRight w:val="0"/>
              <w:marTop w:val="300"/>
              <w:marBottom w:val="0"/>
              <w:divBdr>
                <w:top w:val="none" w:sz="0" w:space="0" w:color="auto"/>
                <w:left w:val="none" w:sz="0" w:space="0" w:color="auto"/>
                <w:bottom w:val="none" w:sz="0" w:space="0" w:color="auto"/>
                <w:right w:val="none" w:sz="0" w:space="0" w:color="auto"/>
              </w:divBdr>
              <w:divsChild>
                <w:div w:id="1069769846">
                  <w:marLeft w:val="0"/>
                  <w:marRight w:val="0"/>
                  <w:marTop w:val="0"/>
                  <w:marBottom w:val="0"/>
                  <w:divBdr>
                    <w:top w:val="none" w:sz="0" w:space="0" w:color="auto"/>
                    <w:left w:val="none" w:sz="0" w:space="0" w:color="auto"/>
                    <w:bottom w:val="none" w:sz="0" w:space="0" w:color="auto"/>
                    <w:right w:val="none" w:sz="0" w:space="0" w:color="auto"/>
                  </w:divBdr>
                </w:div>
              </w:divsChild>
            </w:div>
            <w:div w:id="736517056">
              <w:marLeft w:val="0"/>
              <w:marRight w:val="0"/>
              <w:marTop w:val="600"/>
              <w:marBottom w:val="0"/>
              <w:divBdr>
                <w:top w:val="none" w:sz="0" w:space="0" w:color="auto"/>
                <w:left w:val="none" w:sz="0" w:space="0" w:color="auto"/>
                <w:bottom w:val="none" w:sz="0" w:space="0" w:color="auto"/>
                <w:right w:val="none" w:sz="0" w:space="0" w:color="auto"/>
              </w:divBdr>
              <w:divsChild>
                <w:div w:id="2067608490">
                  <w:marLeft w:val="0"/>
                  <w:marRight w:val="0"/>
                  <w:marTop w:val="0"/>
                  <w:marBottom w:val="0"/>
                  <w:divBdr>
                    <w:top w:val="none" w:sz="0" w:space="0" w:color="auto"/>
                    <w:left w:val="none" w:sz="0" w:space="0" w:color="auto"/>
                    <w:bottom w:val="none" w:sz="0" w:space="0" w:color="auto"/>
                    <w:right w:val="none" w:sz="0" w:space="0" w:color="auto"/>
                  </w:divBdr>
                </w:div>
                <w:div w:id="480000799">
                  <w:marLeft w:val="0"/>
                  <w:marRight w:val="0"/>
                  <w:marTop w:val="300"/>
                  <w:marBottom w:val="225"/>
                  <w:divBdr>
                    <w:top w:val="none" w:sz="0" w:space="0" w:color="auto"/>
                    <w:left w:val="none" w:sz="0" w:space="0" w:color="auto"/>
                    <w:bottom w:val="none" w:sz="0" w:space="0" w:color="auto"/>
                    <w:right w:val="none" w:sz="0" w:space="0" w:color="auto"/>
                  </w:divBdr>
                </w:div>
              </w:divsChild>
            </w:div>
            <w:div w:id="1695571466">
              <w:marLeft w:val="0"/>
              <w:marRight w:val="0"/>
              <w:marTop w:val="0"/>
              <w:marBottom w:val="300"/>
              <w:divBdr>
                <w:top w:val="none" w:sz="0" w:space="0" w:color="auto"/>
                <w:left w:val="none" w:sz="0" w:space="0" w:color="auto"/>
                <w:bottom w:val="none" w:sz="0" w:space="0" w:color="auto"/>
                <w:right w:val="none" w:sz="0" w:space="0" w:color="auto"/>
              </w:divBdr>
              <w:divsChild>
                <w:div w:id="322852199">
                  <w:marLeft w:val="0"/>
                  <w:marRight w:val="0"/>
                  <w:marTop w:val="0"/>
                  <w:marBottom w:val="0"/>
                  <w:divBdr>
                    <w:top w:val="none" w:sz="0" w:space="0" w:color="auto"/>
                    <w:left w:val="none" w:sz="0" w:space="0" w:color="auto"/>
                    <w:bottom w:val="none" w:sz="0" w:space="0" w:color="auto"/>
                    <w:right w:val="none" w:sz="0" w:space="0" w:color="auto"/>
                  </w:divBdr>
                  <w:divsChild>
                    <w:div w:id="2124575219">
                      <w:marLeft w:val="0"/>
                      <w:marRight w:val="0"/>
                      <w:marTop w:val="0"/>
                      <w:marBottom w:val="0"/>
                      <w:divBdr>
                        <w:top w:val="none" w:sz="0" w:space="0" w:color="auto"/>
                        <w:left w:val="none" w:sz="0" w:space="0" w:color="auto"/>
                        <w:bottom w:val="none" w:sz="0" w:space="0" w:color="auto"/>
                        <w:right w:val="none" w:sz="0" w:space="0" w:color="auto"/>
                      </w:divBdr>
                      <w:divsChild>
                        <w:div w:id="1867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1507">
              <w:marLeft w:val="0"/>
              <w:marRight w:val="0"/>
              <w:marTop w:val="600"/>
              <w:marBottom w:val="0"/>
              <w:divBdr>
                <w:top w:val="single" w:sz="6" w:space="11" w:color="E3E3E3"/>
                <w:left w:val="single" w:sz="6" w:space="11" w:color="E3E3E3"/>
                <w:bottom w:val="single" w:sz="6" w:space="11" w:color="E3E3E3"/>
                <w:right w:val="single" w:sz="6" w:space="11" w:color="E3E3E3"/>
              </w:divBdr>
              <w:divsChild>
                <w:div w:id="10096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0253">
          <w:marLeft w:val="0"/>
          <w:marRight w:val="0"/>
          <w:marTop w:val="0"/>
          <w:marBottom w:val="0"/>
          <w:divBdr>
            <w:top w:val="none" w:sz="0" w:space="0" w:color="auto"/>
            <w:left w:val="none" w:sz="0" w:space="0" w:color="auto"/>
            <w:bottom w:val="none" w:sz="0" w:space="0" w:color="auto"/>
            <w:right w:val="none" w:sz="0" w:space="0" w:color="auto"/>
          </w:divBdr>
          <w:divsChild>
            <w:div w:id="512962119">
              <w:marLeft w:val="0"/>
              <w:marRight w:val="0"/>
              <w:marTop w:val="0"/>
              <w:marBottom w:val="0"/>
              <w:divBdr>
                <w:top w:val="none" w:sz="0" w:space="0" w:color="auto"/>
                <w:left w:val="none" w:sz="0" w:space="0" w:color="auto"/>
                <w:bottom w:val="none" w:sz="0" w:space="0" w:color="auto"/>
                <w:right w:val="none" w:sz="0" w:space="0" w:color="auto"/>
              </w:divBdr>
              <w:divsChild>
                <w:div w:id="206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008">
          <w:marLeft w:val="0"/>
          <w:marRight w:val="0"/>
          <w:marTop w:val="0"/>
          <w:marBottom w:val="0"/>
          <w:divBdr>
            <w:top w:val="none" w:sz="0" w:space="0" w:color="auto"/>
            <w:left w:val="none" w:sz="0" w:space="0" w:color="auto"/>
            <w:bottom w:val="none" w:sz="0" w:space="0" w:color="auto"/>
            <w:right w:val="none" w:sz="0" w:space="0" w:color="auto"/>
          </w:divBdr>
          <w:divsChild>
            <w:div w:id="1365594378">
              <w:marLeft w:val="0"/>
              <w:marRight w:val="0"/>
              <w:marTop w:val="300"/>
              <w:marBottom w:val="300"/>
              <w:divBdr>
                <w:top w:val="none" w:sz="0" w:space="0" w:color="auto"/>
                <w:left w:val="none" w:sz="0" w:space="0" w:color="auto"/>
                <w:bottom w:val="single" w:sz="6" w:space="0" w:color="EDEDED"/>
                <w:right w:val="none" w:sz="0" w:space="0" w:color="auto"/>
              </w:divBdr>
              <w:divsChild>
                <w:div w:id="1193688904">
                  <w:marLeft w:val="0"/>
                  <w:marRight w:val="216"/>
                  <w:marTop w:val="0"/>
                  <w:marBottom w:val="360"/>
                  <w:divBdr>
                    <w:top w:val="none" w:sz="0" w:space="0" w:color="auto"/>
                    <w:left w:val="none" w:sz="0" w:space="0" w:color="auto"/>
                    <w:bottom w:val="none" w:sz="0" w:space="0" w:color="auto"/>
                    <w:right w:val="none" w:sz="0" w:space="0" w:color="auto"/>
                  </w:divBdr>
                  <w:divsChild>
                    <w:div w:id="891117317">
                      <w:marLeft w:val="0"/>
                      <w:marRight w:val="0"/>
                      <w:marTop w:val="0"/>
                      <w:marBottom w:val="0"/>
                      <w:divBdr>
                        <w:top w:val="none" w:sz="0" w:space="0" w:color="auto"/>
                        <w:left w:val="none" w:sz="0" w:space="0" w:color="auto"/>
                        <w:bottom w:val="none" w:sz="0" w:space="0" w:color="auto"/>
                        <w:right w:val="none" w:sz="0" w:space="0" w:color="auto"/>
                      </w:divBdr>
                    </w:div>
                    <w:div w:id="918103108">
                      <w:marLeft w:val="0"/>
                      <w:marRight w:val="0"/>
                      <w:marTop w:val="0"/>
                      <w:marBottom w:val="0"/>
                      <w:divBdr>
                        <w:top w:val="none" w:sz="0" w:space="0" w:color="auto"/>
                        <w:left w:val="none" w:sz="0" w:space="0" w:color="auto"/>
                        <w:bottom w:val="none" w:sz="0" w:space="0" w:color="auto"/>
                        <w:right w:val="none" w:sz="0" w:space="0" w:color="auto"/>
                      </w:divBdr>
                      <w:divsChild>
                        <w:div w:id="149056035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09761144">
                  <w:marLeft w:val="0"/>
                  <w:marRight w:val="216"/>
                  <w:marTop w:val="0"/>
                  <w:marBottom w:val="360"/>
                  <w:divBdr>
                    <w:top w:val="none" w:sz="0" w:space="0" w:color="auto"/>
                    <w:left w:val="none" w:sz="0" w:space="0" w:color="auto"/>
                    <w:bottom w:val="none" w:sz="0" w:space="0" w:color="auto"/>
                    <w:right w:val="none" w:sz="0" w:space="0" w:color="auto"/>
                  </w:divBdr>
                  <w:divsChild>
                    <w:div w:id="1216895308">
                      <w:marLeft w:val="0"/>
                      <w:marRight w:val="0"/>
                      <w:marTop w:val="0"/>
                      <w:marBottom w:val="0"/>
                      <w:divBdr>
                        <w:top w:val="none" w:sz="0" w:space="0" w:color="auto"/>
                        <w:left w:val="none" w:sz="0" w:space="0" w:color="auto"/>
                        <w:bottom w:val="none" w:sz="0" w:space="0" w:color="auto"/>
                        <w:right w:val="none" w:sz="0" w:space="0" w:color="auto"/>
                      </w:divBdr>
                    </w:div>
                    <w:div w:id="2905648">
                      <w:marLeft w:val="0"/>
                      <w:marRight w:val="0"/>
                      <w:marTop w:val="0"/>
                      <w:marBottom w:val="0"/>
                      <w:divBdr>
                        <w:top w:val="none" w:sz="0" w:space="0" w:color="auto"/>
                        <w:left w:val="none" w:sz="0" w:space="0" w:color="auto"/>
                        <w:bottom w:val="none" w:sz="0" w:space="0" w:color="auto"/>
                        <w:right w:val="none" w:sz="0" w:space="0" w:color="auto"/>
                      </w:divBdr>
                      <w:divsChild>
                        <w:div w:id="130890072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8624322">
                  <w:marLeft w:val="0"/>
                  <w:marRight w:val="0"/>
                  <w:marTop w:val="0"/>
                  <w:marBottom w:val="360"/>
                  <w:divBdr>
                    <w:top w:val="none" w:sz="0" w:space="0" w:color="auto"/>
                    <w:left w:val="none" w:sz="0" w:space="0" w:color="auto"/>
                    <w:bottom w:val="none" w:sz="0" w:space="0" w:color="auto"/>
                    <w:right w:val="none" w:sz="0" w:space="0" w:color="auto"/>
                  </w:divBdr>
                  <w:divsChild>
                    <w:div w:id="1805197312">
                      <w:marLeft w:val="0"/>
                      <w:marRight w:val="0"/>
                      <w:marTop w:val="0"/>
                      <w:marBottom w:val="0"/>
                      <w:divBdr>
                        <w:top w:val="none" w:sz="0" w:space="0" w:color="auto"/>
                        <w:left w:val="none" w:sz="0" w:space="0" w:color="auto"/>
                        <w:bottom w:val="none" w:sz="0" w:space="0" w:color="auto"/>
                        <w:right w:val="none" w:sz="0" w:space="0" w:color="auto"/>
                      </w:divBdr>
                    </w:div>
                    <w:div w:id="586812847">
                      <w:marLeft w:val="0"/>
                      <w:marRight w:val="0"/>
                      <w:marTop w:val="0"/>
                      <w:marBottom w:val="0"/>
                      <w:divBdr>
                        <w:top w:val="none" w:sz="0" w:space="0" w:color="auto"/>
                        <w:left w:val="none" w:sz="0" w:space="0" w:color="auto"/>
                        <w:bottom w:val="none" w:sz="0" w:space="0" w:color="auto"/>
                        <w:right w:val="none" w:sz="0" w:space="0" w:color="auto"/>
                      </w:divBdr>
                      <w:divsChild>
                        <w:div w:id="9928708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79111436">
                  <w:marLeft w:val="0"/>
                  <w:marRight w:val="216"/>
                  <w:marTop w:val="0"/>
                  <w:marBottom w:val="75"/>
                  <w:divBdr>
                    <w:top w:val="none" w:sz="0" w:space="0" w:color="auto"/>
                    <w:left w:val="none" w:sz="0" w:space="0" w:color="auto"/>
                    <w:bottom w:val="none" w:sz="0" w:space="0" w:color="auto"/>
                    <w:right w:val="none" w:sz="0" w:space="0" w:color="auto"/>
                  </w:divBdr>
                  <w:divsChild>
                    <w:div w:id="1905140421">
                      <w:marLeft w:val="0"/>
                      <w:marRight w:val="0"/>
                      <w:marTop w:val="0"/>
                      <w:marBottom w:val="0"/>
                      <w:divBdr>
                        <w:top w:val="none" w:sz="0" w:space="0" w:color="auto"/>
                        <w:left w:val="none" w:sz="0" w:space="0" w:color="auto"/>
                        <w:bottom w:val="none" w:sz="0" w:space="0" w:color="auto"/>
                        <w:right w:val="none" w:sz="0" w:space="0" w:color="auto"/>
                      </w:divBdr>
                    </w:div>
                    <w:div w:id="74016470">
                      <w:marLeft w:val="0"/>
                      <w:marRight w:val="0"/>
                      <w:marTop w:val="0"/>
                      <w:marBottom w:val="0"/>
                      <w:divBdr>
                        <w:top w:val="none" w:sz="0" w:space="0" w:color="auto"/>
                        <w:left w:val="none" w:sz="0" w:space="0" w:color="auto"/>
                        <w:bottom w:val="none" w:sz="0" w:space="0" w:color="auto"/>
                        <w:right w:val="none" w:sz="0" w:space="0" w:color="auto"/>
                      </w:divBdr>
                      <w:divsChild>
                        <w:div w:id="18966212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4913988">
                  <w:marLeft w:val="0"/>
                  <w:marRight w:val="216"/>
                  <w:marTop w:val="0"/>
                  <w:marBottom w:val="75"/>
                  <w:divBdr>
                    <w:top w:val="none" w:sz="0" w:space="0" w:color="auto"/>
                    <w:left w:val="none" w:sz="0" w:space="0" w:color="auto"/>
                    <w:bottom w:val="none" w:sz="0" w:space="0" w:color="auto"/>
                    <w:right w:val="none" w:sz="0" w:space="0" w:color="auto"/>
                  </w:divBdr>
                  <w:divsChild>
                    <w:div w:id="1709987428">
                      <w:marLeft w:val="0"/>
                      <w:marRight w:val="0"/>
                      <w:marTop w:val="0"/>
                      <w:marBottom w:val="0"/>
                      <w:divBdr>
                        <w:top w:val="none" w:sz="0" w:space="0" w:color="auto"/>
                        <w:left w:val="none" w:sz="0" w:space="0" w:color="auto"/>
                        <w:bottom w:val="none" w:sz="0" w:space="0" w:color="auto"/>
                        <w:right w:val="none" w:sz="0" w:space="0" w:color="auto"/>
                      </w:divBdr>
                    </w:div>
                    <w:div w:id="477957151">
                      <w:marLeft w:val="0"/>
                      <w:marRight w:val="0"/>
                      <w:marTop w:val="0"/>
                      <w:marBottom w:val="0"/>
                      <w:divBdr>
                        <w:top w:val="none" w:sz="0" w:space="0" w:color="auto"/>
                        <w:left w:val="none" w:sz="0" w:space="0" w:color="auto"/>
                        <w:bottom w:val="none" w:sz="0" w:space="0" w:color="auto"/>
                        <w:right w:val="none" w:sz="0" w:space="0" w:color="auto"/>
                      </w:divBdr>
                      <w:divsChild>
                        <w:div w:id="144260522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039475006">
                  <w:marLeft w:val="0"/>
                  <w:marRight w:val="0"/>
                  <w:marTop w:val="0"/>
                  <w:marBottom w:val="75"/>
                  <w:divBdr>
                    <w:top w:val="none" w:sz="0" w:space="0" w:color="auto"/>
                    <w:left w:val="none" w:sz="0" w:space="0" w:color="auto"/>
                    <w:bottom w:val="none" w:sz="0" w:space="0" w:color="auto"/>
                    <w:right w:val="none" w:sz="0" w:space="0" w:color="auto"/>
                  </w:divBdr>
                  <w:divsChild>
                    <w:div w:id="557011107">
                      <w:marLeft w:val="0"/>
                      <w:marRight w:val="0"/>
                      <w:marTop w:val="0"/>
                      <w:marBottom w:val="0"/>
                      <w:divBdr>
                        <w:top w:val="none" w:sz="0" w:space="0" w:color="auto"/>
                        <w:left w:val="none" w:sz="0" w:space="0" w:color="auto"/>
                        <w:bottom w:val="none" w:sz="0" w:space="0" w:color="auto"/>
                        <w:right w:val="none" w:sz="0" w:space="0" w:color="auto"/>
                      </w:divBdr>
                    </w:div>
                    <w:div w:id="584000232">
                      <w:marLeft w:val="0"/>
                      <w:marRight w:val="0"/>
                      <w:marTop w:val="0"/>
                      <w:marBottom w:val="0"/>
                      <w:divBdr>
                        <w:top w:val="none" w:sz="0" w:space="0" w:color="auto"/>
                        <w:left w:val="none" w:sz="0" w:space="0" w:color="auto"/>
                        <w:bottom w:val="none" w:sz="0" w:space="0" w:color="auto"/>
                        <w:right w:val="none" w:sz="0" w:space="0" w:color="auto"/>
                      </w:divBdr>
                      <w:divsChild>
                        <w:div w:id="59659421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551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0566">
          <w:marLeft w:val="0"/>
          <w:marRight w:val="0"/>
          <w:marTop w:val="0"/>
          <w:marBottom w:val="150"/>
          <w:divBdr>
            <w:top w:val="none" w:sz="0" w:space="0" w:color="auto"/>
            <w:left w:val="none" w:sz="0" w:space="0" w:color="auto"/>
            <w:bottom w:val="dotted" w:sz="6" w:space="8" w:color="6E6E6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ntepubblica.it/wp-content/uploads/2018/04/abuso-dei-permessi-legge-104-e1522914390974.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ntepubblica.it/categoria/personale-e-previdenza/" TargetMode="External"/><Relationship Id="rId12" Type="http://schemas.openxmlformats.org/officeDocument/2006/relationships/hyperlink" Target="https://www.lentepubblica.it/personale-e-previdenza/abuso-dei-permessi-legge-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ntepubblica.it/wp-content/uploads/2018/04/Ordinanza-della-Corte-di-cassazione-n.-8209-2018.pdf" TargetMode="External"/><Relationship Id="rId5" Type="http://schemas.openxmlformats.org/officeDocument/2006/relationships/hyperlink" Target="https://www.lentepubblica.it/personale-e-previdenza/abuso-dei-permessi-legge-104/" TargetMode="External"/><Relationship Id="rId10" Type="http://schemas.openxmlformats.org/officeDocument/2006/relationships/hyperlink" Target="https://www.lentepubblica.it/cittadini-e-imprese/legge-104-9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2</cp:revision>
  <dcterms:created xsi:type="dcterms:W3CDTF">2018-04-06T06:17:00Z</dcterms:created>
  <dcterms:modified xsi:type="dcterms:W3CDTF">2018-04-06T06:18:00Z</dcterms:modified>
</cp:coreProperties>
</file>